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91" w:rsidRPr="008A6EA6" w:rsidRDefault="00550C91" w:rsidP="009939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6EA6">
        <w:rPr>
          <w:rFonts w:asciiTheme="minorHAnsi" w:hAnsiTheme="minorHAnsi" w:cstheme="minorHAnsi"/>
          <w:b/>
          <w:bCs/>
          <w:sz w:val="22"/>
          <w:szCs w:val="22"/>
        </w:rPr>
        <w:t xml:space="preserve">Group Report Outline </w:t>
      </w:r>
      <w:r w:rsidR="00A466D6">
        <w:rPr>
          <w:rFonts w:asciiTheme="minorHAnsi" w:hAnsiTheme="minorHAnsi" w:cstheme="minorHAnsi"/>
          <w:b/>
          <w:bCs/>
          <w:sz w:val="22"/>
          <w:szCs w:val="22"/>
        </w:rPr>
        <w:t xml:space="preserve">Phase 2 </w:t>
      </w:r>
      <w:r w:rsidRPr="008A6EA6">
        <w:rPr>
          <w:rFonts w:asciiTheme="minorHAnsi" w:hAnsiTheme="minorHAnsi" w:cstheme="minorHAnsi"/>
          <w:b/>
          <w:bCs/>
          <w:sz w:val="22"/>
          <w:szCs w:val="22"/>
        </w:rPr>
        <w:t>(Part 3 &amp; Part 4)</w:t>
      </w:r>
    </w:p>
    <w:p w:rsidR="00550C91" w:rsidRPr="008A6EA6" w:rsidRDefault="00550C91" w:rsidP="009939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6EA6">
        <w:rPr>
          <w:rFonts w:asciiTheme="minorHAnsi" w:hAnsiTheme="minorHAnsi" w:cstheme="minorHAnsi"/>
          <w:b/>
          <w:bCs/>
          <w:sz w:val="22"/>
          <w:szCs w:val="22"/>
        </w:rPr>
        <w:t xml:space="preserve">FIN 440 Sec: </w:t>
      </w:r>
      <w:r w:rsidR="00422E9A">
        <w:rPr>
          <w:rFonts w:asciiTheme="minorHAnsi" w:hAnsiTheme="minorHAnsi" w:cstheme="minorHAnsi"/>
          <w:b/>
          <w:bCs/>
          <w:sz w:val="22"/>
          <w:szCs w:val="22"/>
        </w:rPr>
        <w:t>2 &amp; 8</w:t>
      </w:r>
    </w:p>
    <w:p w:rsidR="00550C91" w:rsidRPr="008A6EA6" w:rsidRDefault="00632CA8" w:rsidP="009939F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422E9A">
        <w:rPr>
          <w:rFonts w:asciiTheme="minorHAnsi" w:hAnsiTheme="minorHAnsi" w:cstheme="minorHAnsi"/>
          <w:b/>
          <w:bCs/>
          <w:sz w:val="22"/>
          <w:szCs w:val="22"/>
        </w:rPr>
        <w:t>ummer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2019</w:t>
      </w:r>
    </w:p>
    <w:p w:rsidR="00550C91" w:rsidRPr="008A6EA6" w:rsidRDefault="00550C91" w:rsidP="009939FA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6EA6">
        <w:rPr>
          <w:rFonts w:asciiTheme="minorHAnsi" w:hAnsiTheme="minorHAnsi" w:cstheme="minorHAnsi"/>
          <w:b/>
          <w:bCs/>
          <w:sz w:val="22"/>
          <w:szCs w:val="22"/>
        </w:rPr>
        <w:t>Faculty – Sys</w:t>
      </w:r>
    </w:p>
    <w:p w:rsidR="00550C91" w:rsidRPr="00A466D6" w:rsidRDefault="00550C91" w:rsidP="009939FA">
      <w:pPr>
        <w:spacing w:line="276" w:lineRule="auto"/>
        <w:ind w:right="-4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66D6">
        <w:rPr>
          <w:rFonts w:asciiTheme="minorHAnsi" w:hAnsiTheme="minorHAnsi" w:cstheme="minorHAnsi"/>
          <w:b/>
          <w:sz w:val="22"/>
          <w:szCs w:val="22"/>
        </w:rPr>
        <w:t>(Continuation of Part# 1 &amp; Part# 2 of the report)</w:t>
      </w:r>
    </w:p>
    <w:p w:rsidR="00550C91" w:rsidRPr="008A6EA6" w:rsidRDefault="00550C91" w:rsidP="009939FA">
      <w:pPr>
        <w:spacing w:line="276" w:lineRule="auto"/>
        <w:ind w:right="-450"/>
        <w:jc w:val="both"/>
        <w:rPr>
          <w:rFonts w:asciiTheme="minorHAnsi" w:hAnsiTheme="minorHAnsi" w:cstheme="minorHAnsi"/>
          <w:sz w:val="22"/>
          <w:szCs w:val="22"/>
        </w:rPr>
      </w:pPr>
    </w:p>
    <w:p w:rsidR="00550C91" w:rsidRPr="008A6EA6" w:rsidRDefault="00550C91" w:rsidP="009939FA">
      <w:pPr>
        <w:spacing w:line="276" w:lineRule="auto"/>
        <w:ind w:right="-450"/>
        <w:jc w:val="both"/>
        <w:rPr>
          <w:rFonts w:asciiTheme="minorHAnsi" w:hAnsiTheme="minorHAnsi" w:cstheme="minorHAnsi"/>
          <w:sz w:val="22"/>
          <w:szCs w:val="22"/>
        </w:rPr>
      </w:pPr>
      <w:r w:rsidRPr="008A6EA6">
        <w:rPr>
          <w:rFonts w:asciiTheme="minorHAnsi" w:hAnsiTheme="minorHAnsi" w:cstheme="minorHAnsi"/>
          <w:sz w:val="22"/>
          <w:szCs w:val="22"/>
        </w:rPr>
        <w:t xml:space="preserve">Sheet 5: Cost of capital calculations (Cost of Equity using CAPM, Cost of Debt, </w:t>
      </w:r>
      <w:proofErr w:type="gramStart"/>
      <w:r w:rsidRPr="008A6EA6">
        <w:rPr>
          <w:rFonts w:asciiTheme="minorHAnsi" w:hAnsiTheme="minorHAnsi" w:cstheme="minorHAnsi"/>
          <w:sz w:val="22"/>
          <w:szCs w:val="22"/>
        </w:rPr>
        <w:t>WACC</w:t>
      </w:r>
      <w:proofErr w:type="gramEnd"/>
      <w:r w:rsidRPr="008A6EA6">
        <w:rPr>
          <w:rFonts w:asciiTheme="minorHAnsi" w:hAnsiTheme="minorHAnsi" w:cstheme="minorHAnsi"/>
          <w:sz w:val="22"/>
          <w:szCs w:val="22"/>
        </w:rPr>
        <w:t>)</w:t>
      </w:r>
    </w:p>
    <w:p w:rsidR="00550C91" w:rsidRPr="008A6EA6" w:rsidRDefault="00550C91" w:rsidP="009939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6EA6">
        <w:rPr>
          <w:rFonts w:asciiTheme="minorHAnsi" w:hAnsiTheme="minorHAnsi" w:cstheme="minorHAnsi"/>
          <w:sz w:val="22"/>
          <w:szCs w:val="22"/>
        </w:rPr>
        <w:t xml:space="preserve">Sheet 6: Valuation of the company using discounted cash flow method.  </w:t>
      </w:r>
    </w:p>
    <w:p w:rsidR="00550C91" w:rsidRPr="008A6EA6" w:rsidRDefault="00550C91" w:rsidP="009939F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6EA6">
        <w:rPr>
          <w:rFonts w:asciiTheme="minorHAnsi" w:hAnsiTheme="minorHAnsi" w:cstheme="minorHAnsi"/>
          <w:b/>
          <w:bCs/>
          <w:sz w:val="22"/>
          <w:szCs w:val="22"/>
        </w:rPr>
        <w:t xml:space="preserve">Part 3: Weighted Average cost of Capital </w:t>
      </w:r>
    </w:p>
    <w:p w:rsidR="00550C91" w:rsidRPr="009939FA" w:rsidRDefault="00550C91" w:rsidP="009939FA">
      <w:pPr>
        <w:pStyle w:val="ListParagraph"/>
        <w:numPr>
          <w:ilvl w:val="0"/>
          <w:numId w:val="3"/>
        </w:numPr>
        <w:spacing w:line="276" w:lineRule="auto"/>
        <w:ind w:left="90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939FA">
        <w:rPr>
          <w:rFonts w:asciiTheme="minorHAnsi" w:hAnsiTheme="minorHAnsi" w:cstheme="minorHAnsi"/>
          <w:sz w:val="22"/>
          <w:szCs w:val="22"/>
        </w:rPr>
        <w:t>Describe Calculation of Cost of Equity (</w:t>
      </w:r>
      <w:r w:rsidRPr="009939FA">
        <w:rPr>
          <w:rFonts w:asciiTheme="minorHAnsi" w:hAnsiTheme="minorHAnsi" w:cstheme="minorHAnsi"/>
          <w:b/>
          <w:sz w:val="22"/>
          <w:szCs w:val="22"/>
        </w:rPr>
        <w:t>using CAPM</w:t>
      </w:r>
      <w:r w:rsidRPr="009939FA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550C91" w:rsidRPr="009939FA" w:rsidRDefault="00550C91" w:rsidP="009939FA">
      <w:pPr>
        <w:pStyle w:val="ListParagraph"/>
        <w:numPr>
          <w:ilvl w:val="0"/>
          <w:numId w:val="3"/>
        </w:numPr>
        <w:spacing w:line="276" w:lineRule="auto"/>
        <w:ind w:left="90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939FA">
        <w:rPr>
          <w:rFonts w:asciiTheme="minorHAnsi" w:hAnsiTheme="minorHAnsi" w:cstheme="minorHAnsi"/>
          <w:sz w:val="22"/>
          <w:szCs w:val="22"/>
        </w:rPr>
        <w:t>Descri</w:t>
      </w:r>
      <w:r w:rsidR="00A466D6" w:rsidRPr="009939FA">
        <w:rPr>
          <w:rFonts w:asciiTheme="minorHAnsi" w:hAnsiTheme="minorHAnsi" w:cstheme="minorHAnsi"/>
          <w:sz w:val="22"/>
          <w:szCs w:val="22"/>
        </w:rPr>
        <w:t>be Calculation of  Cost of Debt</w:t>
      </w:r>
    </w:p>
    <w:p w:rsidR="00550C91" w:rsidRPr="009939FA" w:rsidRDefault="00550C91" w:rsidP="009939FA">
      <w:pPr>
        <w:pStyle w:val="ListParagraph"/>
        <w:numPr>
          <w:ilvl w:val="0"/>
          <w:numId w:val="3"/>
        </w:numPr>
        <w:spacing w:line="276" w:lineRule="auto"/>
        <w:ind w:left="90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939FA">
        <w:rPr>
          <w:rFonts w:asciiTheme="minorHAnsi" w:hAnsiTheme="minorHAnsi" w:cstheme="minorHAnsi"/>
          <w:sz w:val="22"/>
          <w:szCs w:val="22"/>
        </w:rPr>
        <w:t>Describe calculation of WACC</w:t>
      </w:r>
    </w:p>
    <w:p w:rsidR="00550C91" w:rsidRPr="009939FA" w:rsidRDefault="00550C91" w:rsidP="009939FA">
      <w:pPr>
        <w:pStyle w:val="ListParagraph"/>
        <w:numPr>
          <w:ilvl w:val="0"/>
          <w:numId w:val="3"/>
        </w:numPr>
        <w:spacing w:line="276" w:lineRule="auto"/>
        <w:ind w:left="90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939FA">
        <w:rPr>
          <w:rFonts w:asciiTheme="minorHAnsi" w:hAnsiTheme="minorHAnsi" w:cstheme="minorHAnsi"/>
          <w:sz w:val="22"/>
          <w:szCs w:val="22"/>
        </w:rPr>
        <w:t>Describe any assumptio</w:t>
      </w:r>
      <w:r w:rsidR="00A466D6" w:rsidRPr="009939FA">
        <w:rPr>
          <w:rFonts w:asciiTheme="minorHAnsi" w:hAnsiTheme="minorHAnsi" w:cstheme="minorHAnsi"/>
          <w:sz w:val="22"/>
          <w:szCs w:val="22"/>
        </w:rPr>
        <w:t>n(s) made</w:t>
      </w:r>
    </w:p>
    <w:p w:rsidR="00550C91" w:rsidRPr="008A6EA6" w:rsidRDefault="00550C91" w:rsidP="009939F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6EA6">
        <w:rPr>
          <w:rFonts w:asciiTheme="minorHAnsi" w:hAnsiTheme="minorHAnsi" w:cstheme="minorHAnsi"/>
          <w:b/>
          <w:bCs/>
          <w:sz w:val="22"/>
          <w:szCs w:val="22"/>
        </w:rPr>
        <w:t xml:space="preserve">Part 4: Valuation </w:t>
      </w:r>
    </w:p>
    <w:p w:rsidR="00550C91" w:rsidRPr="009939FA" w:rsidRDefault="00550C91" w:rsidP="009939FA">
      <w:pPr>
        <w:pStyle w:val="ListParagraph"/>
        <w:numPr>
          <w:ilvl w:val="0"/>
          <w:numId w:val="4"/>
        </w:numPr>
        <w:spacing w:line="276" w:lineRule="auto"/>
        <w:ind w:left="90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939FA">
        <w:rPr>
          <w:rFonts w:asciiTheme="minorHAnsi" w:hAnsiTheme="minorHAnsi" w:cstheme="minorHAnsi"/>
          <w:sz w:val="22"/>
          <w:szCs w:val="22"/>
        </w:rPr>
        <w:t>Calculate the value of the company using the variab</w:t>
      </w:r>
      <w:r w:rsidR="00CB291A" w:rsidRPr="009939FA">
        <w:rPr>
          <w:rFonts w:asciiTheme="minorHAnsi" w:hAnsiTheme="minorHAnsi" w:cstheme="minorHAnsi"/>
          <w:sz w:val="22"/>
          <w:szCs w:val="22"/>
        </w:rPr>
        <w:t>le growth formula using Free Cas</w:t>
      </w:r>
      <w:r w:rsidRPr="009939FA">
        <w:rPr>
          <w:rFonts w:asciiTheme="minorHAnsi" w:hAnsiTheme="minorHAnsi" w:cstheme="minorHAnsi"/>
          <w:sz w:val="22"/>
          <w:szCs w:val="22"/>
        </w:rPr>
        <w:t>h</w:t>
      </w:r>
      <w:r w:rsidR="00CB291A" w:rsidRPr="009939FA">
        <w:rPr>
          <w:rFonts w:asciiTheme="minorHAnsi" w:hAnsiTheme="minorHAnsi" w:cstheme="minorHAnsi"/>
          <w:sz w:val="22"/>
          <w:szCs w:val="22"/>
        </w:rPr>
        <w:t xml:space="preserve"> F</w:t>
      </w:r>
      <w:r w:rsidRPr="009939FA">
        <w:rPr>
          <w:rFonts w:asciiTheme="minorHAnsi" w:hAnsiTheme="minorHAnsi" w:cstheme="minorHAnsi"/>
          <w:sz w:val="22"/>
          <w:szCs w:val="22"/>
        </w:rPr>
        <w:t xml:space="preserve">low </w:t>
      </w:r>
      <w:r w:rsidR="00CB291A" w:rsidRPr="009939FA">
        <w:rPr>
          <w:rFonts w:asciiTheme="minorHAnsi" w:hAnsiTheme="minorHAnsi" w:cstheme="minorHAnsi"/>
          <w:sz w:val="22"/>
          <w:szCs w:val="22"/>
        </w:rPr>
        <w:t xml:space="preserve">(FCF) </w:t>
      </w:r>
      <w:r w:rsidR="00422E9A">
        <w:rPr>
          <w:rFonts w:asciiTheme="minorHAnsi" w:hAnsiTheme="minorHAnsi" w:cstheme="minorHAnsi"/>
          <w:sz w:val="22"/>
          <w:szCs w:val="22"/>
        </w:rPr>
        <w:t>valuation method.</w:t>
      </w:r>
    </w:p>
    <w:p w:rsidR="00550C91" w:rsidRPr="009939FA" w:rsidRDefault="00550C91" w:rsidP="009939FA">
      <w:pPr>
        <w:pStyle w:val="ListParagraph"/>
        <w:numPr>
          <w:ilvl w:val="0"/>
          <w:numId w:val="4"/>
        </w:numPr>
        <w:spacing w:line="276" w:lineRule="auto"/>
        <w:ind w:left="900" w:hanging="270"/>
        <w:jc w:val="both"/>
        <w:rPr>
          <w:rFonts w:asciiTheme="minorHAnsi" w:hAnsiTheme="minorHAnsi" w:cstheme="minorHAnsi"/>
          <w:sz w:val="22"/>
          <w:szCs w:val="22"/>
        </w:rPr>
      </w:pPr>
      <w:r w:rsidRPr="009939FA">
        <w:rPr>
          <w:rFonts w:asciiTheme="minorHAnsi" w:hAnsiTheme="minorHAnsi" w:cstheme="minorHAnsi"/>
          <w:sz w:val="22"/>
          <w:szCs w:val="22"/>
        </w:rPr>
        <w:t xml:space="preserve">Compare the calculated value with the current market price and comment if undervalued or overvalued. </w:t>
      </w:r>
    </w:p>
    <w:p w:rsidR="00550C91" w:rsidRPr="008A6EA6" w:rsidRDefault="00632CA8" w:rsidP="009939F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9939FA">
        <w:rPr>
          <w:rFonts w:asciiTheme="minorHAnsi" w:hAnsiTheme="minorHAnsi" w:cstheme="minorHAnsi"/>
          <w:b/>
          <w:bCs/>
          <w:sz w:val="22"/>
          <w:szCs w:val="22"/>
        </w:rPr>
        <w:t>calculate Beta, use</w:t>
      </w:r>
      <w:r w:rsidR="00550C91" w:rsidRPr="008A6EA6">
        <w:rPr>
          <w:rFonts w:asciiTheme="minorHAnsi" w:hAnsiTheme="minorHAnsi" w:cstheme="minorHAnsi"/>
          <w:b/>
          <w:bCs/>
          <w:sz w:val="22"/>
          <w:szCs w:val="22"/>
        </w:rPr>
        <w:t xml:space="preserve"> the following formula:</w:t>
      </w:r>
    </w:p>
    <w:p w:rsidR="00550C91" w:rsidRPr="008A6EA6" w:rsidRDefault="00550C91" w:rsidP="009939F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A6EA6">
        <w:rPr>
          <w:rFonts w:asciiTheme="minorHAnsi" w:hAnsiTheme="minorHAnsi" w:cstheme="minorHAnsi"/>
          <w:b/>
          <w:bCs/>
          <w:sz w:val="22"/>
          <w:szCs w:val="22"/>
        </w:rPr>
        <w:t>Beta = Slope of Annual Rate of return of the company and Annu</w:t>
      </w:r>
      <w:r w:rsidR="00CB291A">
        <w:rPr>
          <w:rFonts w:asciiTheme="minorHAnsi" w:hAnsiTheme="minorHAnsi" w:cstheme="minorHAnsi"/>
          <w:b/>
          <w:bCs/>
          <w:sz w:val="22"/>
          <w:szCs w:val="22"/>
        </w:rPr>
        <w:t>al Rate of return of the market</w:t>
      </w:r>
    </w:p>
    <w:p w:rsidR="00550C91" w:rsidRDefault="00550C91" w:rsidP="009939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6EA6">
        <w:rPr>
          <w:rFonts w:asciiTheme="minorHAnsi" w:hAnsiTheme="minorHAnsi" w:cstheme="minorHAnsi"/>
          <w:sz w:val="22"/>
          <w:szCs w:val="22"/>
        </w:rPr>
        <w:t xml:space="preserve">For the market assume the following returns: one return is done for you do the rest. Calculate the rate of return for your company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Pr="008A6EA6">
        <w:rPr>
          <w:rFonts w:asciiTheme="minorHAnsi" w:hAnsiTheme="minorHAnsi" w:cstheme="minorHAnsi"/>
          <w:sz w:val="22"/>
          <w:szCs w:val="22"/>
        </w:rPr>
        <w:t xml:space="preserve">the same way and then use the above formula to calculate the Beta. In Excel use the formula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SLOPE </w:t>
      </w:r>
      <w:r>
        <w:rPr>
          <w:rFonts w:asciiTheme="minorHAnsi" w:hAnsiTheme="minorHAnsi" w:cstheme="minorHAnsi"/>
          <w:sz w:val="22"/>
          <w:szCs w:val="22"/>
        </w:rPr>
        <w:t>to calculate Beta. For market, use DSEX Index.</w:t>
      </w:r>
    </w:p>
    <w:p w:rsidR="00550C91" w:rsidRPr="008A6EA6" w:rsidRDefault="00550C91" w:rsidP="009939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3081"/>
        <w:gridCol w:w="3229"/>
      </w:tblGrid>
      <w:tr w:rsidR="00550C91" w:rsidRPr="008A6EA6" w:rsidTr="005453AF">
        <w:tc>
          <w:tcPr>
            <w:tcW w:w="2888" w:type="dxa"/>
          </w:tcPr>
          <w:p w:rsidR="00550C91" w:rsidRPr="008A6EA6" w:rsidRDefault="00550C91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 xml:space="preserve">Year </w:t>
            </w:r>
          </w:p>
        </w:tc>
        <w:tc>
          <w:tcPr>
            <w:tcW w:w="3081" w:type="dxa"/>
          </w:tcPr>
          <w:p w:rsidR="00550C91" w:rsidRPr="008A6EA6" w:rsidRDefault="00550C91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DSE Index</w:t>
            </w:r>
          </w:p>
        </w:tc>
        <w:tc>
          <w:tcPr>
            <w:tcW w:w="3229" w:type="dxa"/>
          </w:tcPr>
          <w:p w:rsidR="00550C91" w:rsidRPr="008A6EA6" w:rsidRDefault="00550C91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Market </w:t>
            </w: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Rate of Return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(R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22E9A" w:rsidRPr="008A6EA6" w:rsidTr="005453AF">
        <w:tc>
          <w:tcPr>
            <w:tcW w:w="2888" w:type="dxa"/>
          </w:tcPr>
          <w:p w:rsidR="00422E9A" w:rsidRPr="008A6EA6" w:rsidRDefault="00422E9A" w:rsidP="009939F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3081" w:type="dxa"/>
          </w:tcPr>
          <w:p w:rsidR="00422E9A" w:rsidRPr="008A6EA6" w:rsidRDefault="00422E9A" w:rsidP="009939F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5,385</w:t>
            </w:r>
          </w:p>
        </w:tc>
        <w:tc>
          <w:tcPr>
            <w:tcW w:w="3229" w:type="dxa"/>
          </w:tcPr>
          <w:p w:rsidR="00422E9A" w:rsidRDefault="00422E9A" w:rsidP="009939F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=(5,385-6</w:t>
            </w:r>
            <w:r w:rsidR="005453A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244</w:t>
            </w:r>
            <w:r w:rsidR="005453AF">
              <w:rPr>
                <w:rFonts w:asciiTheme="minorHAnsi" w:hAnsiTheme="minorHAnsi" w:cstheme="minorHAnsi"/>
                <w:sz w:val="22"/>
                <w:szCs w:val="22"/>
              </w:rPr>
              <w:t>)/6,244=-13.75%</w:t>
            </w:r>
          </w:p>
        </w:tc>
      </w:tr>
      <w:tr w:rsidR="00CB291A" w:rsidRPr="008A6EA6" w:rsidTr="005453AF">
        <w:tc>
          <w:tcPr>
            <w:tcW w:w="2888" w:type="dxa"/>
          </w:tcPr>
          <w:p w:rsidR="00CB291A" w:rsidRPr="008A6EA6" w:rsidRDefault="00CB291A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3081" w:type="dxa"/>
          </w:tcPr>
          <w:p w:rsidR="00CB291A" w:rsidRPr="008A6EA6" w:rsidRDefault="00CB291A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B291A">
              <w:rPr>
                <w:rFonts w:asciiTheme="minorHAnsi" w:hAnsiTheme="minorHAnsi" w:cstheme="minorHAnsi"/>
                <w:sz w:val="22"/>
                <w:szCs w:val="22"/>
              </w:rPr>
              <w:t>6,244</w:t>
            </w:r>
          </w:p>
        </w:tc>
        <w:tc>
          <w:tcPr>
            <w:tcW w:w="3229" w:type="dxa"/>
          </w:tcPr>
          <w:p w:rsidR="00CB291A" w:rsidRDefault="00CB291A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=(6,244-5,036)/5,036=23.99%</w:t>
            </w:r>
          </w:p>
        </w:tc>
      </w:tr>
      <w:tr w:rsidR="00550C91" w:rsidRPr="008A6EA6" w:rsidTr="005453AF">
        <w:tc>
          <w:tcPr>
            <w:tcW w:w="2888" w:type="dxa"/>
          </w:tcPr>
          <w:p w:rsidR="00550C91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466D6">
              <w:rPr>
                <w:rFonts w:asciiTheme="minorHAnsi" w:hAnsiTheme="minorHAnsi" w:cstheme="minorHAnsi"/>
                <w:sz w:val="22"/>
              </w:rPr>
              <w:t>2016</w:t>
            </w:r>
          </w:p>
        </w:tc>
        <w:tc>
          <w:tcPr>
            <w:tcW w:w="3081" w:type="dxa"/>
          </w:tcPr>
          <w:p w:rsidR="00550C91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466D6">
              <w:rPr>
                <w:rFonts w:asciiTheme="minorHAnsi" w:hAnsiTheme="minorHAnsi" w:cstheme="minorHAnsi"/>
                <w:sz w:val="22"/>
              </w:rPr>
              <w:t>5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A466D6">
              <w:rPr>
                <w:rFonts w:asciiTheme="minorHAnsi" w:hAnsiTheme="minorHAnsi" w:cstheme="minorHAnsi"/>
                <w:sz w:val="22"/>
              </w:rPr>
              <w:t>036</w:t>
            </w:r>
          </w:p>
        </w:tc>
        <w:tc>
          <w:tcPr>
            <w:tcW w:w="3229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50C91" w:rsidRPr="008A6EA6" w:rsidTr="005453AF">
        <w:tc>
          <w:tcPr>
            <w:tcW w:w="2888" w:type="dxa"/>
          </w:tcPr>
          <w:p w:rsidR="00550C91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466D6">
              <w:rPr>
                <w:rFonts w:asciiTheme="minorHAnsi" w:hAnsiTheme="minorHAnsi" w:cstheme="minorHAnsi"/>
                <w:sz w:val="22"/>
              </w:rPr>
              <w:t>2015</w:t>
            </w:r>
          </w:p>
        </w:tc>
        <w:tc>
          <w:tcPr>
            <w:tcW w:w="3081" w:type="dxa"/>
          </w:tcPr>
          <w:p w:rsidR="00550C91" w:rsidRPr="00A466D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466D6">
              <w:rPr>
                <w:rFonts w:asciiTheme="minorHAnsi" w:hAnsiTheme="minorHAnsi" w:cstheme="minorHAnsi"/>
                <w:sz w:val="22"/>
                <w:szCs w:val="22"/>
              </w:rPr>
              <w:t>4,6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229" w:type="dxa"/>
          </w:tcPr>
          <w:p w:rsidR="00550C91" w:rsidRPr="008A6EA6" w:rsidRDefault="00550C91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66D6" w:rsidRPr="008A6EA6" w:rsidTr="005453AF">
        <w:tc>
          <w:tcPr>
            <w:tcW w:w="2888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3081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865</w:t>
            </w:r>
          </w:p>
        </w:tc>
        <w:tc>
          <w:tcPr>
            <w:tcW w:w="3229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66D6" w:rsidRPr="008A6EA6" w:rsidTr="005453AF">
        <w:tc>
          <w:tcPr>
            <w:tcW w:w="2888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3081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267</w:t>
            </w:r>
          </w:p>
        </w:tc>
        <w:tc>
          <w:tcPr>
            <w:tcW w:w="3229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66D6" w:rsidRPr="008A6EA6" w:rsidTr="005453AF">
        <w:tc>
          <w:tcPr>
            <w:tcW w:w="2888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3081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219</w:t>
            </w:r>
          </w:p>
        </w:tc>
        <w:tc>
          <w:tcPr>
            <w:tcW w:w="3229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66D6" w:rsidRPr="008A6EA6" w:rsidTr="005453AF">
        <w:tc>
          <w:tcPr>
            <w:tcW w:w="2888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3081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257</w:t>
            </w:r>
          </w:p>
        </w:tc>
        <w:tc>
          <w:tcPr>
            <w:tcW w:w="3229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66D6" w:rsidRPr="008A6EA6" w:rsidTr="005453AF">
        <w:tc>
          <w:tcPr>
            <w:tcW w:w="2888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2010</w:t>
            </w:r>
          </w:p>
        </w:tc>
        <w:tc>
          <w:tcPr>
            <w:tcW w:w="3081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3229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66D6" w:rsidRPr="008A6EA6" w:rsidTr="005453AF">
        <w:tc>
          <w:tcPr>
            <w:tcW w:w="2888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2009</w:t>
            </w:r>
          </w:p>
        </w:tc>
        <w:tc>
          <w:tcPr>
            <w:tcW w:w="3081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536</w:t>
            </w:r>
          </w:p>
        </w:tc>
        <w:tc>
          <w:tcPr>
            <w:tcW w:w="3229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466D6" w:rsidRPr="008A6EA6" w:rsidTr="005453AF">
        <w:tc>
          <w:tcPr>
            <w:tcW w:w="2888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2008</w:t>
            </w:r>
          </w:p>
        </w:tc>
        <w:tc>
          <w:tcPr>
            <w:tcW w:w="3081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A6EA6">
              <w:rPr>
                <w:rFonts w:asciiTheme="minorHAnsi" w:hAnsiTheme="minorHAnsi" w:cstheme="minorHAnsi"/>
                <w:sz w:val="22"/>
                <w:szCs w:val="22"/>
              </w:rPr>
              <w:t>795</w:t>
            </w:r>
          </w:p>
        </w:tc>
        <w:tc>
          <w:tcPr>
            <w:tcW w:w="3229" w:type="dxa"/>
          </w:tcPr>
          <w:p w:rsidR="00A466D6" w:rsidRPr="008A6EA6" w:rsidRDefault="00A466D6" w:rsidP="009939F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50C91" w:rsidRDefault="00550C91" w:rsidP="00550C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66D6" w:rsidRDefault="00A466D6" w:rsidP="00550C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466D6" w:rsidRPr="008A6EA6" w:rsidRDefault="00A466D6" w:rsidP="00550C9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D5452" w:rsidRPr="009939FA" w:rsidRDefault="00550C91" w:rsidP="005453AF">
      <w:pPr>
        <w:spacing w:line="276" w:lineRule="auto"/>
        <w:ind w:hanging="720"/>
        <w:jc w:val="center"/>
        <w:rPr>
          <w:rFonts w:ascii="Comic Sans MS" w:hAnsi="Comic Sans MS"/>
          <w:color w:val="FF0000"/>
          <w:sz w:val="28"/>
        </w:rPr>
      </w:pPr>
      <w:r w:rsidRPr="009939FA">
        <w:rPr>
          <w:rFonts w:ascii="Comic Sans MS" w:hAnsi="Comic Sans MS" w:cstheme="minorHAnsi"/>
          <w:b/>
          <w:color w:val="FF0000"/>
          <w:szCs w:val="22"/>
        </w:rPr>
        <w:t xml:space="preserve">Deadline: On or before </w:t>
      </w:r>
      <w:r w:rsidR="005453AF">
        <w:rPr>
          <w:rFonts w:ascii="Comic Sans MS" w:hAnsi="Comic Sans MS" w:cstheme="minorHAnsi"/>
          <w:b/>
          <w:color w:val="FF0000"/>
          <w:szCs w:val="22"/>
          <w:u w:val="single"/>
        </w:rPr>
        <w:t>Wednesday</w:t>
      </w:r>
      <w:r w:rsidRPr="009939FA">
        <w:rPr>
          <w:rFonts w:ascii="Comic Sans MS" w:hAnsi="Comic Sans MS" w:cstheme="minorHAnsi"/>
          <w:b/>
          <w:color w:val="FF0000"/>
          <w:szCs w:val="22"/>
          <w:u w:val="single"/>
        </w:rPr>
        <w:t xml:space="preserve">, </w:t>
      </w:r>
      <w:r w:rsidR="005453AF">
        <w:rPr>
          <w:rFonts w:ascii="Comic Sans MS" w:hAnsi="Comic Sans MS" w:cstheme="minorHAnsi"/>
          <w:b/>
          <w:color w:val="FF0000"/>
          <w:szCs w:val="22"/>
          <w:u w:val="single"/>
        </w:rPr>
        <w:t>September</w:t>
      </w:r>
      <w:r w:rsidR="00632CA8" w:rsidRPr="009939FA">
        <w:rPr>
          <w:rFonts w:ascii="Comic Sans MS" w:hAnsi="Comic Sans MS" w:cstheme="minorHAnsi"/>
          <w:b/>
          <w:color w:val="FF0000"/>
          <w:szCs w:val="22"/>
          <w:u w:val="single"/>
        </w:rPr>
        <w:t xml:space="preserve"> </w:t>
      </w:r>
      <w:r w:rsidR="005453AF">
        <w:rPr>
          <w:rFonts w:ascii="Comic Sans MS" w:hAnsi="Comic Sans MS" w:cstheme="minorHAnsi"/>
          <w:b/>
          <w:color w:val="FF0000"/>
          <w:szCs w:val="22"/>
          <w:u w:val="single"/>
        </w:rPr>
        <w:t>4</w:t>
      </w:r>
      <w:r w:rsidRPr="009939FA">
        <w:rPr>
          <w:rFonts w:ascii="Comic Sans MS" w:hAnsi="Comic Sans MS" w:cstheme="minorHAnsi"/>
          <w:b/>
          <w:color w:val="FF0000"/>
          <w:szCs w:val="22"/>
          <w:u w:val="single"/>
        </w:rPr>
        <w:t>, 201</w:t>
      </w:r>
      <w:r w:rsidR="00632CA8" w:rsidRPr="009939FA">
        <w:rPr>
          <w:rFonts w:ascii="Comic Sans MS" w:hAnsi="Comic Sans MS" w:cstheme="minorHAnsi"/>
          <w:b/>
          <w:color w:val="FF0000"/>
          <w:szCs w:val="22"/>
          <w:u w:val="single"/>
        </w:rPr>
        <w:t>9</w:t>
      </w:r>
      <w:r w:rsidR="006C6D1D" w:rsidRPr="009939FA">
        <w:rPr>
          <w:rFonts w:ascii="Comic Sans MS" w:hAnsi="Comic Sans MS" w:cstheme="minorHAnsi"/>
          <w:b/>
          <w:color w:val="FF0000"/>
          <w:szCs w:val="22"/>
        </w:rPr>
        <w:t xml:space="preserve"> (</w:t>
      </w:r>
      <w:r w:rsidR="005453AF">
        <w:rPr>
          <w:rFonts w:ascii="Comic Sans MS" w:hAnsi="Comic Sans MS" w:cstheme="minorHAnsi"/>
          <w:b/>
          <w:color w:val="FF0000"/>
          <w:szCs w:val="22"/>
        </w:rPr>
        <w:t>By</w:t>
      </w:r>
      <w:r w:rsidR="006C6D1D" w:rsidRPr="009939FA">
        <w:rPr>
          <w:rFonts w:ascii="Comic Sans MS" w:hAnsi="Comic Sans MS" w:cstheme="minorHAnsi"/>
          <w:b/>
          <w:color w:val="FF0000"/>
          <w:szCs w:val="22"/>
        </w:rPr>
        <w:t xml:space="preserve"> </w:t>
      </w:r>
      <w:r w:rsidR="005453AF">
        <w:rPr>
          <w:rFonts w:ascii="Comic Sans MS" w:hAnsi="Comic Sans MS" w:cstheme="minorHAnsi"/>
          <w:b/>
          <w:color w:val="FF0000"/>
          <w:szCs w:val="22"/>
        </w:rPr>
        <w:t>12.30 PM</w:t>
      </w:r>
      <w:r w:rsidR="006C6D1D" w:rsidRPr="009939FA">
        <w:rPr>
          <w:rFonts w:ascii="Comic Sans MS" w:hAnsi="Comic Sans MS" w:cstheme="minorHAnsi"/>
          <w:b/>
          <w:color w:val="FF0000"/>
          <w:szCs w:val="22"/>
        </w:rPr>
        <w:t>)</w:t>
      </w:r>
    </w:p>
    <w:sectPr w:rsidR="000D5452" w:rsidRPr="009939FA" w:rsidSect="00131355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EE1"/>
    <w:multiLevelType w:val="hybridMultilevel"/>
    <w:tmpl w:val="E5EE88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0061"/>
    <w:multiLevelType w:val="hybridMultilevel"/>
    <w:tmpl w:val="7BAC0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7ED3"/>
    <w:multiLevelType w:val="hybridMultilevel"/>
    <w:tmpl w:val="4BFEA32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B224708"/>
    <w:multiLevelType w:val="hybridMultilevel"/>
    <w:tmpl w:val="00C6E3DE"/>
    <w:lvl w:ilvl="0" w:tplc="4C1AEE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C91"/>
    <w:rsid w:val="0006723B"/>
    <w:rsid w:val="000D5452"/>
    <w:rsid w:val="00234000"/>
    <w:rsid w:val="00422E9A"/>
    <w:rsid w:val="0049444F"/>
    <w:rsid w:val="005453AF"/>
    <w:rsid w:val="00550C91"/>
    <w:rsid w:val="00632CA8"/>
    <w:rsid w:val="006C6D1D"/>
    <w:rsid w:val="009939FA"/>
    <w:rsid w:val="009B41A6"/>
    <w:rsid w:val="00A44951"/>
    <w:rsid w:val="00A466D6"/>
    <w:rsid w:val="00AA0776"/>
    <w:rsid w:val="00AF2DC0"/>
    <w:rsid w:val="00BA0752"/>
    <w:rsid w:val="00CB291A"/>
    <w:rsid w:val="00DA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2017-12-06T03:37:00Z</cp:lastPrinted>
  <dcterms:created xsi:type="dcterms:W3CDTF">2017-04-05T03:34:00Z</dcterms:created>
  <dcterms:modified xsi:type="dcterms:W3CDTF">2019-08-21T03:22:00Z</dcterms:modified>
</cp:coreProperties>
</file>